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40" w:lineRule="auto"/>
        <w:jc w:val="center"/>
      </w:pPr>
      <w:r>
        <w:rPr>
          <w:rFonts w:ascii="Calibri" w:hAnsi="Calibri" w:eastAsia="Calibri"/>
          <w:b/>
          <w:i w:val="0"/>
          <w:color w:val="173F5A"/>
          <w:sz w:val="33"/>
        </w:rPr>
        <w:t>LARRY P. BOLSTER II, LCSW</w:t>
      </w:r>
    </w:p>
    <w:p>
      <w:pPr>
        <w:keepNext w:val="0"/>
        <w:spacing w:before="0" w:after="40" w:line="240" w:lineRule="auto"/>
        <w:jc w:val="center"/>
      </w:pPr>
      <w:r>
        <w:t>Licensed Clinical Social Worker | Crisis &amp; Risk Assessment | Clinical Product Safety</w:t>
      </w:r>
    </w:p>
    <w:p>
      <w:pPr>
        <w:keepNext w:val="0"/>
        <w:spacing w:before="0" w:after="80" w:line="240" w:lineRule="auto"/>
        <w:jc w:val="center"/>
      </w:pPr>
      <w:r>
        <w:t>Bangor, ME | 207-944-9055 | bolstelp0@gmail.com | Portfolio: larry.bolstercybernetics.com | Maine LCSW</w:t>
      </w:r>
    </w:p>
    <w:p>
      <w:pPr>
        <w:keepNext/>
        <w:spacing w:before="80" w:after="40" w:line="240" w:lineRule="auto"/>
        <w:pBdr>
          <w:bottom w:val="single" w:sz="5" w:space="2" w:color="173F5A"/>
        </w:pBdr>
      </w:pPr>
      <w:r>
        <w:rPr>
          <w:rFonts w:ascii="Calibri" w:hAnsi="Calibri" w:eastAsia="Calibri"/>
          <w:b/>
          <w:i w:val="0"/>
          <w:color w:val="173F5A"/>
          <w:sz w:val="21"/>
        </w:rPr>
        <w:t>PROFESSIONAL PROFILE</w:t>
      </w:r>
    </w:p>
    <w:p>
      <w:pPr>
        <w:keepNext w:val="0"/>
        <w:spacing w:before="0" w:after="50" w:line="240" w:lineRule="auto"/>
      </w:pPr>
      <w:r>
        <w:t>Licensed Clinical Social Worker with 20+ years in behavioral health, including three years of emergency psychiatric evaluation, critical-incident review, chart review, program supervision, and supervision of interns and clinical staff across three organizations. In 2026, I began an independent clinical AI safety project applying frontline clinical judgment to red-teaming, risk taxonomy, staged safety gates, clinician usability testing, and verification of privacy and authority controls for a locally hosted documentation-support system. I bring clinical judgment and structured safety evaluation to documentation, escalation, severity-based routing, and care-workflow decisions.</w:t>
      </w:r>
    </w:p>
    <w:p>
      <w:pPr>
        <w:keepNext/>
        <w:spacing w:before="80" w:after="40" w:line="240" w:lineRule="auto"/>
        <w:pBdr>
          <w:bottom w:val="single" w:sz="5" w:space="2" w:color="173F5A"/>
        </w:pBdr>
      </w:pPr>
      <w:r>
        <w:rPr>
          <w:rFonts w:ascii="Calibri" w:hAnsi="Calibri" w:eastAsia="Calibri"/>
          <w:b/>
          <w:i w:val="0"/>
          <w:color w:val="173F5A"/>
          <w:sz w:val="21"/>
        </w:rPr>
        <w:t>CORE STRENGTHS</w:t>
      </w:r>
    </w:p>
    <w:p>
      <w:pPr>
        <w:pStyle w:val="ListBullet"/>
        <w:spacing w:after="16" w:line="240" w:lineRule="auto"/>
        <w:ind w:left="259" w:hanging="173"/>
      </w:pPr>
      <w:r>
        <w:rPr>
          <w:rFonts w:ascii="Calibri" w:hAnsi="Calibri" w:eastAsia="Calibri"/>
          <w:b/>
          <w:i w:val="0"/>
          <w:color w:val="141E26"/>
          <w:sz w:val="18"/>
        </w:rPr>
        <w:t>Crisis &amp; risk: suicide and safety assessment, ED psychiatric evaluation, disposition decisions, safety planning, severity-based escalation and routing under incomplete information</w:t>
      </w:r>
      <w:r>
        <w:rPr>
          <w:rFonts w:ascii="Calibri" w:hAnsi="Calibri" w:eastAsia="Calibri"/>
          <w:b w:val="0"/>
          <w:i w:val="0"/>
          <w:color w:val="141E26"/>
          <w:sz w:val="18"/>
        </w:rPr>
      </w:r>
    </w:p>
    <w:p>
      <w:pPr>
        <w:pStyle w:val="ListBullet"/>
        <w:spacing w:after="16" w:line="240" w:lineRule="auto"/>
        <w:ind w:left="259" w:hanging="173"/>
      </w:pPr>
      <w:r>
        <w:rPr>
          <w:rFonts w:ascii="Calibri" w:hAnsi="Calibri" w:eastAsia="Calibri"/>
          <w:b/>
          <w:i w:val="0"/>
          <w:color w:val="141E26"/>
          <w:sz w:val="18"/>
        </w:rPr>
        <w:t>Clinical quality &amp; leadership: critical-incident review and follow-up, chart review, multidisciplinary collaboration, program supervision, supervision of interns and clinical staff across three organizations</w:t>
      </w:r>
      <w:r>
        <w:rPr>
          <w:rFonts w:ascii="Calibri" w:hAnsi="Calibri" w:eastAsia="Calibri"/>
          <w:b w:val="0"/>
          <w:i w:val="0"/>
          <w:color w:val="141E26"/>
          <w:sz w:val="18"/>
        </w:rPr>
      </w:r>
    </w:p>
    <w:p>
      <w:pPr>
        <w:pStyle w:val="ListBullet"/>
        <w:spacing w:after="16" w:line="240" w:lineRule="auto"/>
        <w:ind w:left="259" w:hanging="173"/>
      </w:pPr>
      <w:r>
        <w:rPr>
          <w:rFonts w:ascii="Calibri" w:hAnsi="Calibri" w:eastAsia="Calibri"/>
          <w:b/>
          <w:i w:val="0"/>
          <w:color w:val="141E26"/>
          <w:sz w:val="18"/>
        </w:rPr>
        <w:t>Clinical product judgment: documentation workflows, risk ownership, human-review boundaries, and translating clinical concerns into concrete, evaluable requirements and review criteria</w:t>
      </w:r>
      <w:r>
        <w:rPr>
          <w:rFonts w:ascii="Calibri" w:hAnsi="Calibri" w:eastAsia="Calibri"/>
          <w:b w:val="0"/>
          <w:i w:val="0"/>
          <w:color w:val="141E26"/>
          <w:sz w:val="18"/>
        </w:rPr>
      </w:r>
    </w:p>
    <w:p>
      <w:pPr>
        <w:pStyle w:val="ListBullet"/>
        <w:spacing w:after="16" w:line="240" w:lineRule="auto"/>
        <w:ind w:left="259" w:hanging="173"/>
      </w:pPr>
      <w:r>
        <w:t>AI evaluation &amp; safety: red-teaming, gold-standard case design, staged release gates, clinician usability testing, failure preservation, privacy/isolation verification, and independent review</w:t>
      </w:r>
    </w:p>
    <w:p>
      <w:pPr>
        <w:keepNext/>
        <w:spacing w:before="80" w:after="40" w:line="240" w:lineRule="auto"/>
        <w:pBdr>
          <w:bottom w:val="single" w:sz="5" w:space="2" w:color="173F5A"/>
        </w:pBdr>
      </w:pPr>
      <w:r>
        <w:rPr>
          <w:rFonts w:ascii="Calibri" w:hAnsi="Calibri" w:eastAsia="Calibri"/>
          <w:b/>
          <w:i w:val="0"/>
          <w:color w:val="173F5A"/>
          <w:sz w:val="21"/>
        </w:rPr>
        <w:t>CLINICAL EXPERIENCE</w:t>
      </w:r>
    </w:p>
    <w:p>
      <w:pPr>
        <w:keepNext/>
        <w:tabs>
          <w:tab w:pos="10080" w:val="left"/>
        </w:tabs>
        <w:spacing w:before="30" w:after="20" w:line="240" w:lineRule="auto"/>
      </w:pPr>
      <w:r>
        <w:rPr>
          <w:rFonts w:ascii="Calibri" w:hAnsi="Calibri" w:eastAsia="Calibri"/>
          <w:b/>
          <w:sz w:val="19"/>
        </w:rPr>
        <w:t>Penobscot Community Health Center | Clinical Therapist (2009–Present)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Conduct psychosocial assessments and provide individual and brief therapy, treatment planning, crisis intervention, documentation, and multidisciplinary team support.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Represented the clinic in board meetings involving review of and follow-up on critical incidents; conducted clinical chart reviews.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Supervise interns and clinical staff, with attention to clinical reasoning, documentation, professional development, and safe decision-making.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Integrate presentation, history, stressors, protective factors, collateral information, and immediate risk indicators into care plans, documentation, and escalation decisions.</w:t>
      </w:r>
    </w:p>
    <w:p>
      <w:pPr>
        <w:keepNext/>
        <w:tabs>
          <w:tab w:pos="10080" w:val="left"/>
        </w:tabs>
        <w:spacing w:before="30" w:after="20" w:line="240" w:lineRule="auto"/>
      </w:pPr>
      <w:r>
        <w:rPr>
          <w:rFonts w:ascii="Calibri" w:hAnsi="Calibri" w:eastAsia="Calibri"/>
          <w:b/>
          <w:sz w:val="19"/>
        </w:rPr>
        <w:t>Acadia Hospital Consult Services | Emergency Psychiatric Consultation Clinician (2006–2009)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Performed emergency psychiatric evaluations in the local emergency department for three years, including suicide and safety assessment, safety planning, and severity-based disposition recommendations under incomplete information.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Coordinated emergency placements and handoffs with ED medical teams, law enforcement, and psychiatric hospitals statewide, translating clinical risk into escalation and routing decisions.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Balanced immediate risk, clinical context, patient needs, available resources, and ownership of the next step when making time-sensitive recommendations.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Supervised interns and clinical staff.</w:t>
      </w:r>
    </w:p>
    <w:p>
      <w:pPr>
        <w:keepNext/>
        <w:tabs>
          <w:tab w:pos="10080" w:val="left"/>
        </w:tabs>
        <w:spacing w:before="30" w:after="20" w:line="240" w:lineRule="auto"/>
      </w:pPr>
      <w:r>
        <w:rPr>
          <w:rFonts w:ascii="Calibri" w:hAnsi="Calibri" w:eastAsia="Calibri"/>
          <w:b/>
          <w:sz w:val="19"/>
        </w:rPr>
        <w:t>Gentiva | Behavioral Therapist / Medical Social Worker (2006–2008)</w:t>
      </w:r>
    </w:p>
    <w:p>
      <w:pPr>
        <w:pStyle w:val="ListBullet"/>
        <w:spacing w:after="14" w:line="240" w:lineRule="auto"/>
        <w:ind w:left="259" w:hanging="173"/>
      </w:pPr>
      <w:r>
        <w:rPr>
          <w:rFonts w:ascii="Calibri" w:hAnsi="Calibri" w:eastAsia="Calibri"/>
          <w:b w:val="0"/>
          <w:i w:val="0"/>
          <w:color w:val="141E26"/>
          <w:sz w:val="18"/>
        </w:rPr>
        <w:t>Supervised the Section 65M program, including interns and clinical staff.</w:t>
      </w:r>
    </w:p>
    <w:p>
      <w:pPr>
        <w:keepNext w:val="0"/>
        <w:spacing w:before="0" w:after="24" w:line="240" w:lineRule="auto"/>
      </w:pPr>
      <w:r>
        <w:rPr>
          <w:rFonts w:ascii="Calibri" w:hAnsi="Calibri" w:eastAsia="Calibri"/>
          <w:b/>
          <w:i w:val="0"/>
          <w:color w:val="141E26"/>
          <w:sz w:val="18"/>
        </w:rPr>
        <w:t xml:space="preserve">Additional clinical experience: </w:t>
      </w:r>
      <w:r>
        <w:rPr>
          <w:rFonts w:ascii="Calibri" w:hAnsi="Calibri" w:eastAsia="Calibri"/>
          <w:b w:val="0"/>
          <w:i w:val="0"/>
          <w:color w:val="141E26"/>
          <w:sz w:val="18"/>
        </w:rPr>
        <w:t>Outpatient Clinician, Acadia Narcotics Treatment / CDIOP (2005–2006); Inpatient Clinician, Acadia (2003–2005).</w:t>
      </w:r>
    </w:p>
    <w:p>
      <w:pPr>
        <w:keepNext/>
        <w:spacing w:before="80" w:after="40" w:line="240" w:lineRule="auto"/>
        <w:pBdr>
          <w:bottom w:val="single" w:sz="5" w:space="2" w:color="173F5A"/>
        </w:pBdr>
      </w:pPr>
      <w:r>
        <w:rPr>
          <w:rFonts w:ascii="Calibri" w:hAnsi="Calibri" w:eastAsia="Calibri"/>
          <w:b/>
          <w:i w:val="0"/>
          <w:color w:val="173F5A"/>
          <w:sz w:val="21"/>
        </w:rPr>
        <w:t>INDEPENDENT CLINICAL AI SAFETY WORK</w:t>
      </w:r>
    </w:p>
    <w:p>
      <w:pPr>
        <w:keepNext/>
        <w:tabs>
          <w:tab w:pos="10080" w:val="left"/>
        </w:tabs>
        <w:spacing w:before="30" w:after="20" w:line="240" w:lineRule="auto"/>
      </w:pPr>
      <w:r>
        <w:t>Independent Clinical AI Safety Project | Clinical Safety Evaluation &amp; Design (2026–Present)</w:t>
      </w:r>
    </w:p>
    <w:p>
      <w:pPr>
        <w:pStyle w:val="ListBullet"/>
        <w:spacing w:after="14" w:line="240" w:lineRule="auto"/>
        <w:ind w:left="259" w:hanging="173"/>
      </w:pPr>
      <w:r>
        <w:t>Red-teamed a locally hosted clinical-documentation support tool across crisis timing, safety-clearance language, PHI, diagnosis, and treatment scenarios, grounded in the principle that model capability does not confer clinical authority.</w:t>
      </w:r>
    </w:p>
    <w:p>
      <w:pPr>
        <w:pStyle w:val="ListBullet"/>
        <w:spacing w:after="14" w:line="240" w:lineRule="auto"/>
        <w:ind w:left="259" w:hanging="173"/>
      </w:pPr>
      <w:r>
        <w:t>Built a nine-category clinical risk taxonomy and a 34-case gold-standard evaluation suite with expected verdicts and safe controls to assess both missed risk and unnecessary blocking.</w:t>
      </w:r>
    </w:p>
    <w:p>
      <w:pPr>
        <w:pStyle w:val="ListBullet"/>
        <w:spacing w:after="14" w:line="240" w:lineRule="auto"/>
        <w:ind w:left="259" w:hanging="173"/>
      </w:pPr>
      <w:r>
        <w:t>Designed a staged release process spanning design and threat review, technical controls, synthetic privacy and clinical-fidelity testing, clinician usability testing, and recovery testing; preserved failed tests, including a refusal-test guard miss that was routed to targeted repair rather than weakening criteria.</w:t>
      </w:r>
    </w:p>
    <w:p>
      <w:pPr>
        <w:pStyle w:val="ListBullet"/>
        <w:spacing w:after="14" w:line="240" w:lineRule="auto"/>
        <w:ind w:left="259" w:hanging="173"/>
      </w:pPr>
      <w:r>
        <w:t>Completed clinician usability testing across six synthetic documentation cases; all were usable as starting drafts, with no unsupported clinical additions or clinician-authority concerns identified.</w:t>
      </w:r>
    </w:p>
    <w:p>
      <w:pPr>
        <w:pStyle w:val="ListBullet"/>
        <w:spacing w:after="14" w:line="240" w:lineRule="auto"/>
        <w:ind w:left="259" w:hanging="173"/>
      </w:pPr>
      <w:r>
        <w:t>Verified privacy and isolation controls in an encrypted, network-isolated local environment and built traceable source-ingestion controls with page-preserving extraction, source/chunk provenance, local indexing, and package verification.</w:t>
      </w:r>
    </w:p>
    <w:p>
      <w:pPr>
        <w:spacing w:before="10" w:after="10"/>
        <w:ind w:left="259"/>
      </w:pPr>
      <w:r>
        <w:t>Current status: independent development and testing using synthetic cases only. PHI processing, D1/D2 clinical-data use, production clinical inference, and real-client use remain disabled; a tightly limited pilot framework has been designed but is not authorized.</w:t>
      </w:r>
    </w:p>
    <w:p>
      <w:pPr>
        <w:keepNext/>
        <w:spacing w:before="80" w:after="40" w:line="240" w:lineRule="auto"/>
        <w:pBdr>
          <w:bottom w:val="single" w:sz="5" w:space="2" w:color="173F5A"/>
        </w:pBdr>
      </w:pPr>
      <w:r>
        <w:rPr>
          <w:rFonts w:ascii="Calibri" w:hAnsi="Calibri" w:eastAsia="Calibri"/>
          <w:b/>
          <w:i w:val="0"/>
          <w:color w:val="173F5A"/>
          <w:sz w:val="21"/>
        </w:rPr>
        <w:t>EDUCATION</w:t>
      </w:r>
    </w:p>
    <w:p>
      <w:pPr>
        <w:keepNext w:val="0"/>
        <w:spacing w:before="0" w:after="8" w:line="240" w:lineRule="auto"/>
      </w:pPr>
      <w:r>
        <w:rPr>
          <w:rFonts w:ascii="Calibri" w:hAnsi="Calibri" w:eastAsia="Calibri"/>
          <w:b/>
          <w:i w:val="0"/>
          <w:color w:val="141E26"/>
          <w:sz w:val="18"/>
        </w:rPr>
        <w:t>Graduate Certificate in Healthcare Administration</w:t>
      </w:r>
      <w:r>
        <w:rPr>
          <w:rFonts w:ascii="Calibri" w:hAnsi="Calibri" w:eastAsia="Calibri"/>
          <w:b w:val="0"/>
          <w:i w:val="0"/>
          <w:color w:val="141E26"/>
          <w:sz w:val="18"/>
        </w:rPr>
        <w:t>, University of Maine at Orono (2007)</w:t>
      </w:r>
    </w:p>
    <w:p>
      <w:pPr>
        <w:keepNext w:val="0"/>
        <w:spacing w:before="0" w:after="8" w:line="240" w:lineRule="auto"/>
      </w:pPr>
      <w:r>
        <w:rPr>
          <w:rFonts w:ascii="Calibri" w:hAnsi="Calibri" w:eastAsia="Calibri"/>
          <w:b/>
          <w:i w:val="0"/>
          <w:color w:val="141E26"/>
          <w:sz w:val="18"/>
        </w:rPr>
        <w:t>Master of Social Work (MSW)</w:t>
      </w:r>
      <w:r>
        <w:rPr>
          <w:rFonts w:ascii="Calibri" w:hAnsi="Calibri" w:eastAsia="Calibri"/>
          <w:b w:val="0"/>
          <w:i w:val="0"/>
          <w:color w:val="141E26"/>
          <w:sz w:val="18"/>
        </w:rPr>
        <w:t>, University of Maine at Orono (2003)</w:t>
      </w:r>
    </w:p>
    <w:p>
      <w:pPr>
        <w:keepNext w:val="0"/>
        <w:spacing w:before="0" w:after="8" w:line="240" w:lineRule="auto"/>
      </w:pPr>
      <w:r>
        <w:rPr>
          <w:rFonts w:ascii="Calibri" w:hAnsi="Calibri" w:eastAsia="Calibri"/>
          <w:b/>
          <w:i w:val="0"/>
          <w:color w:val="141E26"/>
          <w:sz w:val="18"/>
        </w:rPr>
        <w:t>B.A., Psychology and Interdisciplinary Studies</w:t>
      </w:r>
      <w:r>
        <w:rPr>
          <w:rFonts w:ascii="Calibri" w:hAnsi="Calibri" w:eastAsia="Calibri"/>
          <w:b w:val="0"/>
          <w:i w:val="0"/>
          <w:color w:val="141E26"/>
          <w:sz w:val="18"/>
        </w:rPr>
        <w:t>, University of Maine at Farmington (1999)</w:t>
      </w:r>
    </w:p>
    <w:sectPr w:rsidR="00FC693F" w:rsidRPr="0006063C" w:rsidSect="00034616">
      <w:pgSz w:w="12240" w:h="15840"/>
      <w:pgMar w:top="648" w:right="749" w:bottom="648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